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9F" w:rsidRPr="00E915C8" w:rsidRDefault="00C2519F" w:rsidP="00C2519F">
      <w:pPr>
        <w:ind w:left="426" w:firstLine="0"/>
        <w:rPr>
          <w:rFonts w:ascii="Times New Roman" w:hAnsi="Times New Roman" w:cs="Times New Roman"/>
          <w:b/>
        </w:rPr>
      </w:pPr>
      <w:r w:rsidRPr="00E915C8">
        <w:rPr>
          <w:rFonts w:ascii="Times New Roman" w:hAnsi="Times New Roman" w:cs="Times New Roman"/>
          <w:b/>
        </w:rPr>
        <w:t>Аналитическая справка по итогам 2023 – 2024 учебного года.</w:t>
      </w:r>
    </w:p>
    <w:p w:rsidR="00C2519F" w:rsidRPr="007931A6" w:rsidRDefault="00C2519F" w:rsidP="00C2519F">
      <w:pPr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>возрастная группа: дети 2-3 лет</w:t>
      </w:r>
      <w:r w:rsidRPr="007931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931A6">
        <w:rPr>
          <w:rFonts w:ascii="Times New Roman" w:hAnsi="Times New Roman" w:cs="Times New Roman"/>
          <w:b/>
        </w:rPr>
        <w:t>Результаты работы с воспитанниками.</w:t>
      </w:r>
    </w:p>
    <w:p w:rsidR="00C2519F" w:rsidRPr="007931A6" w:rsidRDefault="00C2519F" w:rsidP="00C2519F">
      <w:pPr>
        <w:pStyle w:val="a3"/>
        <w:widowControl/>
        <w:suppressAutoHyphens w:val="0"/>
        <w:autoSpaceDE/>
        <w:autoSpaceDN/>
        <w:ind w:left="786" w:firstLine="0"/>
        <w:contextualSpacing/>
        <w:jc w:val="left"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Результаты итогового мониторинга образовательной деятельности.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>Общее количество детей на начало года – 22 ребёнка.</w:t>
      </w:r>
      <w:r w:rsidRPr="007931A6">
        <w:rPr>
          <w:rFonts w:ascii="Times New Roman" w:hAnsi="Times New Roman" w:cs="Times New Roman"/>
          <w:color w:val="2C2D2E"/>
        </w:rPr>
        <w:br/>
        <w:t>Общее количество детей на конец года – 22 ребёнка.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>На момент поступления в группу 19 детям исполнилось 2 года, а также три ребёнка (тройняшки)</w:t>
      </w:r>
      <w:proofErr w:type="gramStart"/>
      <w:r w:rsidRPr="007931A6">
        <w:rPr>
          <w:rFonts w:ascii="Times New Roman" w:hAnsi="Times New Roman" w:cs="Times New Roman"/>
          <w:color w:val="2C2D2E"/>
        </w:rPr>
        <w:t xml:space="preserve"> ,</w:t>
      </w:r>
      <w:proofErr w:type="gramEnd"/>
      <w:r w:rsidRPr="007931A6">
        <w:rPr>
          <w:rFonts w:ascii="Times New Roman" w:hAnsi="Times New Roman" w:cs="Times New Roman"/>
          <w:color w:val="2C2D2E"/>
        </w:rPr>
        <w:t xml:space="preserve"> которым на момент начала года было 1 год и 9 месяцев.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b/>
          <w:color w:val="2C2D2E"/>
        </w:rPr>
      </w:pPr>
      <w:r w:rsidRPr="007931A6">
        <w:rPr>
          <w:rFonts w:ascii="Times New Roman" w:hAnsi="Times New Roman" w:cs="Times New Roman"/>
          <w:b/>
          <w:color w:val="2C2D2E"/>
        </w:rPr>
        <w:t>Сводная таблица оценки уровней эффективности педагогических</w:t>
      </w:r>
      <w:r w:rsidRPr="007931A6">
        <w:rPr>
          <w:rFonts w:ascii="Times New Roman" w:hAnsi="Times New Roman" w:cs="Times New Roman"/>
          <w:b/>
          <w:color w:val="2C2D2E"/>
        </w:rPr>
        <w:br/>
        <w:t xml:space="preserve">              воздействий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b/>
          <w:color w:val="2C2D2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4531"/>
        <w:gridCol w:w="2392"/>
        <w:gridCol w:w="2397"/>
      </w:tblGrid>
      <w:tr w:rsidR="00C2519F" w:rsidRPr="007931A6" w:rsidTr="002C313A">
        <w:trPr>
          <w:trHeight w:val="583"/>
        </w:trPr>
        <w:tc>
          <w:tcPr>
            <w:tcW w:w="534" w:type="dxa"/>
          </w:tcPr>
          <w:p w:rsidR="00C2519F" w:rsidRPr="007931A6" w:rsidRDefault="00C2519F" w:rsidP="002C313A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proofErr w:type="spellStart"/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Обазовательные</w:t>
            </w:r>
            <w:proofErr w:type="spellEnd"/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 области</w:t>
            </w: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Начало года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Конец года</w:t>
            </w:r>
          </w:p>
        </w:tc>
      </w:tr>
      <w:tr w:rsidR="00C2519F" w:rsidRPr="007931A6" w:rsidTr="002C313A">
        <w:trPr>
          <w:trHeight w:val="549"/>
        </w:trPr>
        <w:tc>
          <w:tcPr>
            <w:tcW w:w="534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Социально-коммуникативное развитие</w:t>
            </w:r>
          </w:p>
          <w:p w:rsidR="00C2519F" w:rsidRPr="007931A6" w:rsidRDefault="00C2519F" w:rsidP="002C313A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(62)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3 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средний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(90)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4 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высокий</w:t>
            </w:r>
          </w:p>
        </w:tc>
      </w:tr>
      <w:tr w:rsidR="00C2519F" w:rsidRPr="007931A6" w:rsidTr="002C313A">
        <w:tc>
          <w:tcPr>
            <w:tcW w:w="534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Познавательное развитие</w:t>
            </w:r>
          </w:p>
          <w:p w:rsidR="00C2519F" w:rsidRPr="007931A6" w:rsidRDefault="00C2519F" w:rsidP="002C313A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(57)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2 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низкий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(87)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4 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высокий</w:t>
            </w:r>
          </w:p>
        </w:tc>
      </w:tr>
      <w:tr w:rsidR="00C2519F" w:rsidRPr="007931A6" w:rsidTr="002C313A">
        <w:tc>
          <w:tcPr>
            <w:tcW w:w="534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Речевое развитие</w:t>
            </w:r>
          </w:p>
          <w:p w:rsidR="00C2519F" w:rsidRPr="007931A6" w:rsidRDefault="00C2519F" w:rsidP="002C313A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(52)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2 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низкий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(85)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4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  высокий</w:t>
            </w:r>
          </w:p>
        </w:tc>
      </w:tr>
      <w:tr w:rsidR="00C2519F" w:rsidRPr="007931A6" w:rsidTr="002C313A">
        <w:tc>
          <w:tcPr>
            <w:tcW w:w="534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Художественно-эстетическое развитие</w:t>
            </w:r>
          </w:p>
          <w:p w:rsidR="00C2519F" w:rsidRPr="007931A6" w:rsidRDefault="00C2519F" w:rsidP="002C313A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(55)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2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  низкий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(80)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3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  средний</w:t>
            </w:r>
          </w:p>
        </w:tc>
      </w:tr>
      <w:tr w:rsidR="00C2519F" w:rsidRPr="007931A6" w:rsidTr="002C313A">
        <w:tc>
          <w:tcPr>
            <w:tcW w:w="534" w:type="dxa"/>
          </w:tcPr>
          <w:p w:rsidR="00C2519F" w:rsidRPr="007931A6" w:rsidRDefault="00C2519F" w:rsidP="002C313A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Физическое развитие</w:t>
            </w:r>
          </w:p>
          <w:p w:rsidR="00C2519F" w:rsidRPr="007931A6" w:rsidRDefault="00C2519F" w:rsidP="002C313A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(65)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3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  средний</w:t>
            </w:r>
          </w:p>
        </w:tc>
        <w:tc>
          <w:tcPr>
            <w:tcW w:w="2397" w:type="dxa"/>
          </w:tcPr>
          <w:p w:rsidR="00C2519F" w:rsidRPr="007931A6" w:rsidRDefault="00C2519F" w:rsidP="002C313A">
            <w:pPr>
              <w:ind w:left="0" w:firstLine="0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(93) – </w:t>
            </w:r>
            <w:r w:rsidRPr="007931A6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 xml:space="preserve">4  </w:t>
            </w:r>
            <w:r w:rsidRPr="007931A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высокий</w:t>
            </w:r>
          </w:p>
        </w:tc>
      </w:tr>
    </w:tbl>
    <w:p w:rsidR="00C2519F" w:rsidRPr="007931A6" w:rsidRDefault="00C2519F" w:rsidP="00C2519F">
      <w:pPr>
        <w:ind w:firstLine="0"/>
        <w:rPr>
          <w:rFonts w:ascii="Times New Roman" w:hAnsi="Times New Roman" w:cs="Times New Roman"/>
          <w:b/>
          <w:color w:val="2C2D2E"/>
        </w:rPr>
      </w:pPr>
    </w:p>
    <w:p w:rsidR="00C2519F" w:rsidRPr="007931A6" w:rsidRDefault="00C2519F" w:rsidP="00C2519F">
      <w:pPr>
        <w:rPr>
          <w:rFonts w:ascii="Times New Roman" w:hAnsi="Times New Roman" w:cs="Times New Roman"/>
          <w:b/>
          <w:color w:val="2C2D2E"/>
        </w:rPr>
      </w:pPr>
      <w:r w:rsidRPr="007931A6">
        <w:rPr>
          <w:rFonts w:ascii="Times New Roman" w:hAnsi="Times New Roman" w:cs="Times New Roman"/>
          <w:b/>
          <w:color w:val="2C2D2E"/>
        </w:rPr>
        <w:t>Средние значения (баллы) уровней формирования навыков и умений:</w:t>
      </w:r>
    </w:p>
    <w:p w:rsidR="00C2519F" w:rsidRPr="007931A6" w:rsidRDefault="00C2519F" w:rsidP="00C2519F">
      <w:pPr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 xml:space="preserve">От   </w:t>
      </w:r>
      <w:r w:rsidRPr="007931A6">
        <w:rPr>
          <w:rFonts w:ascii="Times New Roman" w:hAnsi="Times New Roman" w:cs="Times New Roman"/>
          <w:b/>
          <w:color w:val="2C2D2E"/>
        </w:rPr>
        <w:t>1 – 2</w:t>
      </w:r>
      <w:r w:rsidRPr="007931A6">
        <w:rPr>
          <w:rFonts w:ascii="Times New Roman" w:hAnsi="Times New Roman" w:cs="Times New Roman"/>
          <w:color w:val="2C2D2E"/>
        </w:rPr>
        <w:t xml:space="preserve">   не сформированы, не освоены  </w:t>
      </w:r>
      <w:r w:rsidRPr="007931A6">
        <w:rPr>
          <w:rFonts w:ascii="Times New Roman" w:hAnsi="Times New Roman" w:cs="Times New Roman"/>
          <w:b/>
          <w:color w:val="2C2D2E"/>
        </w:rPr>
        <w:t>(низкий)</w:t>
      </w:r>
    </w:p>
    <w:p w:rsidR="00C2519F" w:rsidRPr="007931A6" w:rsidRDefault="00C2519F" w:rsidP="00C2519F">
      <w:pPr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 xml:space="preserve">       </w:t>
      </w:r>
      <w:r w:rsidRPr="007931A6">
        <w:rPr>
          <w:rFonts w:ascii="Times New Roman" w:hAnsi="Times New Roman" w:cs="Times New Roman"/>
          <w:b/>
          <w:color w:val="2C2D2E"/>
        </w:rPr>
        <w:t>2,1 – 3,7</w:t>
      </w:r>
      <w:r w:rsidRPr="007931A6">
        <w:rPr>
          <w:rFonts w:ascii="Times New Roman" w:hAnsi="Times New Roman" w:cs="Times New Roman"/>
          <w:color w:val="2C2D2E"/>
        </w:rPr>
        <w:t xml:space="preserve">  находятся в стадии формирования, частично освоены  </w:t>
      </w:r>
      <w:r w:rsidRPr="007931A6">
        <w:rPr>
          <w:rFonts w:ascii="Times New Roman" w:hAnsi="Times New Roman" w:cs="Times New Roman"/>
          <w:b/>
          <w:color w:val="2C2D2E"/>
        </w:rPr>
        <w:t>(</w:t>
      </w:r>
      <w:proofErr w:type="gramStart"/>
      <w:r w:rsidRPr="007931A6">
        <w:rPr>
          <w:rFonts w:ascii="Times New Roman" w:hAnsi="Times New Roman" w:cs="Times New Roman"/>
          <w:b/>
          <w:color w:val="2C2D2E"/>
        </w:rPr>
        <w:t>средний</w:t>
      </w:r>
      <w:proofErr w:type="gramEnd"/>
      <w:r w:rsidRPr="007931A6">
        <w:rPr>
          <w:rFonts w:ascii="Times New Roman" w:hAnsi="Times New Roman" w:cs="Times New Roman"/>
          <w:b/>
          <w:color w:val="2C2D2E"/>
        </w:rPr>
        <w:t>)</w:t>
      </w:r>
    </w:p>
    <w:p w:rsidR="00C2519F" w:rsidRPr="007931A6" w:rsidRDefault="00C2519F" w:rsidP="00C2519F">
      <w:pPr>
        <w:rPr>
          <w:rFonts w:ascii="Times New Roman" w:hAnsi="Times New Roman" w:cs="Times New Roman"/>
          <w:b/>
          <w:color w:val="2C2D2E"/>
        </w:rPr>
      </w:pPr>
      <w:r w:rsidRPr="007931A6">
        <w:rPr>
          <w:rFonts w:ascii="Times New Roman" w:hAnsi="Times New Roman" w:cs="Times New Roman"/>
          <w:b/>
          <w:color w:val="2C2D2E"/>
        </w:rPr>
        <w:t xml:space="preserve">       3,8 – 5</w:t>
      </w:r>
      <w:r w:rsidRPr="007931A6">
        <w:rPr>
          <w:rFonts w:ascii="Times New Roman" w:hAnsi="Times New Roman" w:cs="Times New Roman"/>
          <w:color w:val="2C2D2E"/>
        </w:rPr>
        <w:t xml:space="preserve">   навыки освоены, умения сформированы  </w:t>
      </w:r>
      <w:r w:rsidRPr="007931A6">
        <w:rPr>
          <w:rFonts w:ascii="Times New Roman" w:hAnsi="Times New Roman" w:cs="Times New Roman"/>
          <w:b/>
          <w:color w:val="2C2D2E"/>
        </w:rPr>
        <w:t>(</w:t>
      </w:r>
      <w:proofErr w:type="gramStart"/>
      <w:r w:rsidRPr="007931A6">
        <w:rPr>
          <w:rFonts w:ascii="Times New Roman" w:hAnsi="Times New Roman" w:cs="Times New Roman"/>
          <w:b/>
          <w:color w:val="2C2D2E"/>
        </w:rPr>
        <w:t>высокий</w:t>
      </w:r>
      <w:proofErr w:type="gramEnd"/>
      <w:r w:rsidRPr="007931A6">
        <w:rPr>
          <w:rFonts w:ascii="Times New Roman" w:hAnsi="Times New Roman" w:cs="Times New Roman"/>
          <w:b/>
          <w:color w:val="2C2D2E"/>
        </w:rPr>
        <w:t>)</w:t>
      </w:r>
    </w:p>
    <w:p w:rsidR="00C2519F" w:rsidRPr="007931A6" w:rsidRDefault="00C2519F" w:rsidP="00C2519F">
      <w:pPr>
        <w:ind w:firstLine="12"/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br/>
        <w:t xml:space="preserve">         Образовательный проце</w:t>
      </w:r>
      <w:proofErr w:type="gramStart"/>
      <w:r w:rsidRPr="007931A6">
        <w:rPr>
          <w:rFonts w:ascii="Times New Roman" w:hAnsi="Times New Roman" w:cs="Times New Roman"/>
          <w:color w:val="2C2D2E"/>
        </w:rPr>
        <w:t>сс в гр</w:t>
      </w:r>
      <w:proofErr w:type="gramEnd"/>
      <w:r w:rsidRPr="007931A6">
        <w:rPr>
          <w:rFonts w:ascii="Times New Roman" w:hAnsi="Times New Roman" w:cs="Times New Roman"/>
          <w:color w:val="2C2D2E"/>
        </w:rPr>
        <w:t>уппе раннего возраста осуществлялся в</w:t>
      </w:r>
      <w:r w:rsidRPr="007931A6">
        <w:rPr>
          <w:rFonts w:ascii="Times New Roman" w:hAnsi="Times New Roman" w:cs="Times New Roman"/>
          <w:color w:val="2C2D2E"/>
        </w:rPr>
        <w:br/>
        <w:t>соответствии с требованиями общеобразовательной программы ДОУ</w:t>
      </w:r>
      <w:r w:rsidRPr="007931A6">
        <w:rPr>
          <w:rFonts w:ascii="Times New Roman" w:hAnsi="Times New Roman" w:cs="Times New Roman"/>
          <w:color w:val="2C2D2E"/>
        </w:rPr>
        <w:br/>
      </w:r>
      <w:r w:rsidRPr="007931A6">
        <w:rPr>
          <w:rFonts w:ascii="Times New Roman" w:hAnsi="Times New Roman" w:cs="Times New Roman"/>
          <w:b/>
          <w:color w:val="2C2D2E"/>
        </w:rPr>
        <w:t xml:space="preserve">          Цели:</w:t>
      </w:r>
      <w:r w:rsidRPr="007931A6">
        <w:rPr>
          <w:rFonts w:ascii="Times New Roman" w:hAnsi="Times New Roman" w:cs="Times New Roman"/>
          <w:color w:val="2C2D2E"/>
        </w:rPr>
        <w:br/>
        <w:t>1.Создание оптимальных условий для полноценного проживания детства</w:t>
      </w:r>
      <w:r w:rsidRPr="007931A6">
        <w:rPr>
          <w:rFonts w:ascii="Times New Roman" w:hAnsi="Times New Roman" w:cs="Times New Roman"/>
          <w:color w:val="2C2D2E"/>
        </w:rPr>
        <w:br/>
        <w:t>дошкольниками;</w:t>
      </w:r>
      <w:r w:rsidRPr="007931A6">
        <w:rPr>
          <w:rFonts w:ascii="Times New Roman" w:hAnsi="Times New Roman" w:cs="Times New Roman"/>
          <w:color w:val="2C2D2E"/>
        </w:rPr>
        <w:br/>
        <w:t>2. Формирование основ базовой культуры личности;</w:t>
      </w:r>
      <w:r w:rsidRPr="007931A6">
        <w:rPr>
          <w:rFonts w:ascii="Times New Roman" w:hAnsi="Times New Roman" w:cs="Times New Roman"/>
          <w:color w:val="2C2D2E"/>
        </w:rPr>
        <w:br/>
        <w:t>3. Всестороннее развитие психических и физических качеств в соответствии с</w:t>
      </w:r>
      <w:r w:rsidRPr="007931A6">
        <w:rPr>
          <w:rFonts w:ascii="Times New Roman" w:hAnsi="Times New Roman" w:cs="Times New Roman"/>
          <w:color w:val="2C2D2E"/>
        </w:rPr>
        <w:br/>
        <w:t>возрастными и индивидуальными особенностями;</w:t>
      </w:r>
      <w:r w:rsidRPr="007931A6">
        <w:rPr>
          <w:rFonts w:ascii="Times New Roman" w:hAnsi="Times New Roman" w:cs="Times New Roman"/>
          <w:color w:val="2C2D2E"/>
        </w:rPr>
        <w:br/>
        <w:t>4. Обеспечение безопасности жизнедеятельности дошкольника.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>Общее количество детей на начало года – 22 ребёнка.</w:t>
      </w:r>
      <w:r w:rsidRPr="007931A6">
        <w:rPr>
          <w:rFonts w:ascii="Times New Roman" w:hAnsi="Times New Roman" w:cs="Times New Roman"/>
          <w:color w:val="2C2D2E"/>
        </w:rPr>
        <w:br/>
        <w:t>Общее количество детей на конец года – 22 ребёнка.</w:t>
      </w:r>
    </w:p>
    <w:p w:rsidR="00C2519F" w:rsidRPr="007931A6" w:rsidRDefault="00C2519F" w:rsidP="00C2519F">
      <w:pPr>
        <w:jc w:val="left"/>
        <w:rPr>
          <w:rFonts w:ascii="Times New Roman" w:hAnsi="Times New Roman" w:cs="Times New Roman"/>
          <w:b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>На момент поступления в группу 19 детям исполнилось 2 года, а также три ребёнка (тройняшки)</w:t>
      </w:r>
      <w:proofErr w:type="gramStart"/>
      <w:r w:rsidRPr="007931A6">
        <w:rPr>
          <w:rFonts w:ascii="Times New Roman" w:hAnsi="Times New Roman" w:cs="Times New Roman"/>
          <w:color w:val="2C2D2E"/>
        </w:rPr>
        <w:t xml:space="preserve"> ,</w:t>
      </w:r>
      <w:proofErr w:type="gramEnd"/>
      <w:r w:rsidRPr="007931A6">
        <w:rPr>
          <w:rFonts w:ascii="Times New Roman" w:hAnsi="Times New Roman" w:cs="Times New Roman"/>
          <w:color w:val="2C2D2E"/>
        </w:rPr>
        <w:t xml:space="preserve"> которым на момент начала года было 1 год и 9 месяцев.</w:t>
      </w:r>
      <w:r w:rsidRPr="007931A6">
        <w:rPr>
          <w:rFonts w:ascii="Times New Roman" w:hAnsi="Times New Roman" w:cs="Times New Roman"/>
          <w:color w:val="2C2D2E"/>
        </w:rPr>
        <w:br/>
      </w:r>
    </w:p>
    <w:p w:rsidR="00C2519F" w:rsidRPr="007931A6" w:rsidRDefault="00C2519F" w:rsidP="00C2519F">
      <w:pPr>
        <w:ind w:firstLine="12"/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b/>
          <w:color w:val="2C2D2E"/>
        </w:rPr>
        <w:t>Цели и задачи на данный период:</w:t>
      </w:r>
      <w:r w:rsidRPr="007931A6">
        <w:rPr>
          <w:rFonts w:ascii="Times New Roman" w:hAnsi="Times New Roman" w:cs="Times New Roman"/>
          <w:color w:val="2C2D2E"/>
        </w:rPr>
        <w:br/>
        <w:t>Образовательный проце</w:t>
      </w:r>
      <w:proofErr w:type="gramStart"/>
      <w:r w:rsidRPr="007931A6">
        <w:rPr>
          <w:rFonts w:ascii="Times New Roman" w:hAnsi="Times New Roman" w:cs="Times New Roman"/>
          <w:color w:val="2C2D2E"/>
        </w:rPr>
        <w:t>сс в гр</w:t>
      </w:r>
      <w:proofErr w:type="gramEnd"/>
      <w:r w:rsidRPr="007931A6">
        <w:rPr>
          <w:rFonts w:ascii="Times New Roman" w:hAnsi="Times New Roman" w:cs="Times New Roman"/>
          <w:color w:val="2C2D2E"/>
        </w:rPr>
        <w:t>уппе раннего возраста осуществлялся в соответствии с требованиями общеобразовательной программы ДОУ</w:t>
      </w:r>
      <w:r w:rsidRPr="007931A6">
        <w:rPr>
          <w:rFonts w:ascii="Times New Roman" w:hAnsi="Times New Roman" w:cs="Times New Roman"/>
          <w:color w:val="2C2D2E"/>
        </w:rPr>
        <w:br/>
      </w:r>
      <w:r w:rsidRPr="007931A6">
        <w:rPr>
          <w:rFonts w:ascii="Times New Roman" w:hAnsi="Times New Roman" w:cs="Times New Roman"/>
          <w:b/>
          <w:color w:val="2C2D2E"/>
        </w:rPr>
        <w:lastRenderedPageBreak/>
        <w:t>Цели:</w:t>
      </w:r>
      <w:r w:rsidRPr="007931A6">
        <w:rPr>
          <w:rFonts w:ascii="Times New Roman" w:hAnsi="Times New Roman" w:cs="Times New Roman"/>
          <w:color w:val="2C2D2E"/>
        </w:rPr>
        <w:br/>
        <w:t>1.Создание оптимальных условий для полноценного проживания детства дошкольниками;</w:t>
      </w:r>
      <w:r w:rsidRPr="007931A6">
        <w:rPr>
          <w:rFonts w:ascii="Times New Roman" w:hAnsi="Times New Roman" w:cs="Times New Roman"/>
          <w:color w:val="2C2D2E"/>
        </w:rPr>
        <w:br/>
        <w:t>2. Формирование основ базовой культуры личности;</w:t>
      </w:r>
      <w:r w:rsidRPr="007931A6">
        <w:rPr>
          <w:rFonts w:ascii="Times New Roman" w:hAnsi="Times New Roman" w:cs="Times New Roman"/>
          <w:color w:val="2C2D2E"/>
        </w:rPr>
        <w:br/>
        <w:t>3. Всестороннее развитие психических и физических качеств в соответствии с возрастными и индивидуальными особенностями;</w:t>
      </w:r>
      <w:r w:rsidRPr="007931A6">
        <w:rPr>
          <w:rFonts w:ascii="Times New Roman" w:hAnsi="Times New Roman" w:cs="Times New Roman"/>
          <w:color w:val="2C2D2E"/>
        </w:rPr>
        <w:br/>
        <w:t>4. Обеспечение безопасности жизнедеятельности дошкольника.</w:t>
      </w:r>
      <w:r w:rsidRPr="007931A6">
        <w:rPr>
          <w:rFonts w:ascii="Times New Roman" w:hAnsi="Times New Roman" w:cs="Times New Roman"/>
          <w:color w:val="2C2D2E"/>
        </w:rPr>
        <w:br/>
        <w:t xml:space="preserve">        Дети развивались согласно возрасту, изучали программный материал и показали позитивную динамику по всем направлениям развития. К началу учебного года в группе была подготовлена соответствующая развивающая среда.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В течение учебного года предметно-развивающая среда группы постоянно пополнялась, также созданы дидактические игры своими руками для развития мелкой моторики рук, восприятия формы, величины, цвета. В группе всё оборудование, игры, игрушки находятся в доступном удобном месте, дети могут самостоятельно выбирать вид деятельности. Созданы комфортные условия для</w:t>
      </w:r>
      <w:r w:rsidRPr="007931A6">
        <w:rPr>
          <w:rFonts w:ascii="Times New Roman" w:hAnsi="Times New Roman" w:cs="Times New Roman"/>
          <w:color w:val="2C2D2E"/>
        </w:rPr>
        <w:br/>
        <w:t>игр, для самостоятельной деятельности.</w:t>
      </w:r>
      <w:r w:rsidRPr="007931A6">
        <w:rPr>
          <w:rFonts w:ascii="Times New Roman" w:hAnsi="Times New Roman" w:cs="Times New Roman"/>
          <w:color w:val="2C2D2E"/>
        </w:rPr>
        <w:br/>
        <w:t xml:space="preserve">          </w:t>
      </w:r>
      <w:r w:rsidRPr="007931A6">
        <w:rPr>
          <w:rFonts w:ascii="Times New Roman" w:hAnsi="Times New Roman" w:cs="Times New Roman"/>
          <w:b/>
          <w:color w:val="2C2D2E"/>
        </w:rPr>
        <w:t xml:space="preserve">Процесс адаптации у каждого малыша проходил индивидуально, дети справились с трудным этапом в своей жизни - с поступлением в детский сад и активно участвовали во всех режимных моментах, в </w:t>
      </w:r>
      <w:proofErr w:type="spellStart"/>
      <w:r w:rsidRPr="007931A6">
        <w:rPr>
          <w:rFonts w:ascii="Times New Roman" w:hAnsi="Times New Roman" w:cs="Times New Roman"/>
          <w:b/>
          <w:color w:val="2C2D2E"/>
        </w:rPr>
        <w:t>нод</w:t>
      </w:r>
      <w:proofErr w:type="spellEnd"/>
      <w:r w:rsidRPr="007931A6">
        <w:rPr>
          <w:rFonts w:ascii="Times New Roman" w:hAnsi="Times New Roman" w:cs="Times New Roman"/>
          <w:b/>
          <w:color w:val="2C2D2E"/>
        </w:rPr>
        <w:t>, в общении и играх со сверстниками и взрослыми. Все дети хорошо адаптировались в детском саду.</w:t>
      </w:r>
      <w:r w:rsidRPr="007931A6">
        <w:rPr>
          <w:rFonts w:ascii="Times New Roman" w:hAnsi="Times New Roman" w:cs="Times New Roman"/>
          <w:b/>
          <w:color w:val="2C2D2E"/>
        </w:rPr>
        <w:br/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  <w:r w:rsidRPr="007931A6">
        <w:rPr>
          <w:rFonts w:ascii="Times New Roman" w:hAnsi="Times New Roman" w:cs="Times New Roman"/>
          <w:b/>
          <w:color w:val="2C2D2E"/>
        </w:rPr>
        <w:br/>
      </w:r>
      <w:r w:rsidRPr="007931A6">
        <w:rPr>
          <w:rFonts w:ascii="Times New Roman" w:hAnsi="Times New Roman" w:cs="Times New Roman"/>
          <w:color w:val="2C2D2E"/>
        </w:rPr>
        <w:t xml:space="preserve">          </w:t>
      </w:r>
      <w:r w:rsidRPr="007931A6">
        <w:rPr>
          <w:rFonts w:ascii="Times New Roman" w:hAnsi="Times New Roman" w:cs="Times New Roman"/>
          <w:b/>
          <w:color w:val="2C2D2E"/>
        </w:rPr>
        <w:t>Согласно плану,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  <w:r w:rsidRPr="007931A6">
        <w:rPr>
          <w:rFonts w:ascii="Times New Roman" w:hAnsi="Times New Roman" w:cs="Times New Roman"/>
          <w:b/>
          <w:color w:val="2C2D2E"/>
        </w:rPr>
        <w:br/>
      </w:r>
      <w:r w:rsidRPr="007931A6">
        <w:rPr>
          <w:rFonts w:ascii="Times New Roman" w:hAnsi="Times New Roman" w:cs="Times New Roman"/>
          <w:color w:val="2C2D2E"/>
        </w:rPr>
        <w:t xml:space="preserve">         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:rsidR="00C2519F" w:rsidRPr="007931A6" w:rsidRDefault="00C2519F" w:rsidP="00C2519F">
      <w:pPr>
        <w:ind w:firstLine="708"/>
        <w:jc w:val="left"/>
        <w:rPr>
          <w:rFonts w:ascii="Times New Roman" w:hAnsi="Times New Roman" w:cs="Times New Roman"/>
          <w:color w:val="2C2D2E"/>
        </w:rPr>
      </w:pPr>
      <w:r w:rsidRPr="007931A6">
        <w:rPr>
          <w:rFonts w:ascii="Times New Roman" w:hAnsi="Times New Roman" w:cs="Times New Roman"/>
          <w:color w:val="2C2D2E"/>
        </w:rPr>
        <w:t xml:space="preserve">Все виды деятельности представляют </w:t>
      </w:r>
      <w:proofErr w:type="spellStart"/>
      <w:r w:rsidRPr="007931A6">
        <w:rPr>
          <w:rFonts w:ascii="Times New Roman" w:hAnsi="Times New Roman" w:cs="Times New Roman"/>
          <w:color w:val="2C2D2E"/>
        </w:rPr>
        <w:t>основныенаправления</w:t>
      </w:r>
      <w:proofErr w:type="spellEnd"/>
      <w:r w:rsidRPr="007931A6">
        <w:rPr>
          <w:rFonts w:ascii="Times New Roman" w:hAnsi="Times New Roman" w:cs="Times New Roman"/>
          <w:color w:val="2C2D2E"/>
        </w:rPr>
        <w:t xml:space="preserve"> развития детей: физическое, познавательное, речевое, художественно-эстетическое, социально-коммуникативное. Планируя воспитательно-образовательную работу в группе, старались учитывать возрастные, индивидуальные, психологические особенности каждого ребёнка в отдельности, чтобы добиться положительных результатов</w:t>
      </w:r>
    </w:p>
    <w:p w:rsidR="00C2519F" w:rsidRPr="00E915C8" w:rsidRDefault="00C2519F" w:rsidP="00C2519F">
      <w:pPr>
        <w:widowControl/>
        <w:suppressAutoHyphens w:val="0"/>
        <w:autoSpaceDE/>
        <w:autoSpaceDN/>
        <w:ind w:firstLine="0"/>
        <w:contextualSpacing/>
        <w:jc w:val="left"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ab/>
      </w:r>
    </w:p>
    <w:p w:rsidR="00025FB4" w:rsidRDefault="00025FB4"/>
    <w:sectPr w:rsidR="00025FB4" w:rsidSect="0002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19F"/>
    <w:rsid w:val="00025FB4"/>
    <w:rsid w:val="000C6D76"/>
    <w:rsid w:val="00190614"/>
    <w:rsid w:val="00C2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19F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19F"/>
    <w:pPr>
      <w:ind w:left="720"/>
    </w:pPr>
  </w:style>
  <w:style w:type="table" w:styleId="a4">
    <w:name w:val="Table Grid"/>
    <w:basedOn w:val="a1"/>
    <w:uiPriority w:val="59"/>
    <w:rsid w:val="00C2519F"/>
    <w:pPr>
      <w:spacing w:beforeAutospacing="1" w:after="0" w:afterAutospacing="1" w:line="240" w:lineRule="auto"/>
      <w:ind w:left="1491" w:right="340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2024-09-23T06:59:00Z</dcterms:created>
  <dcterms:modified xsi:type="dcterms:W3CDTF">2024-09-23T07:01:00Z</dcterms:modified>
</cp:coreProperties>
</file>